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left"/>
        <w:rPr>
          <w:rFonts w:ascii="Arial" w:hAnsi="Arial" w:cs="Times New Roman"/>
          <w:color w:val="000000"/>
          <w:shd w:fill="FFFFFF" w:val="clear"/>
        </w:rPr>
      </w:pPr>
      <w:r>
        <w:rPr>
          <w:rFonts w:cs="Times New Roman" w:ascii="Arial" w:hAnsi="Arial"/>
          <w:b/>
          <w:color w:val="000000"/>
          <w:shd w:fill="FFFFFF" w:val="clear"/>
        </w:rPr>
        <w:tab/>
        <w:tab/>
        <w:tab/>
        <w:tab/>
        <w:tab/>
        <w:tab/>
        <w:tab/>
      </w:r>
      <w:r>
        <w:rPr>
          <w:rFonts w:cs="Times New Roman" w:ascii="Arial" w:hAnsi="Arial"/>
          <w:color w:val="000000"/>
          <w:shd w:fill="FFFFFF" w:val="clear"/>
        </w:rPr>
        <w:t>Załącznik Nr 4 do Zarządzenia Nr 82/25</w:t>
        <w:tab/>
        <w:tab/>
        <w:tab/>
        <w:tab/>
        <w:tab/>
        <w:tab/>
        <w:tab/>
        <w:t>Burmistrza Bełżyc</w:t>
        <w:tab/>
        <w:tab/>
        <w:tab/>
        <w:tab/>
        <w:tab/>
        <w:tab/>
        <w:tab/>
        <w:tab/>
        <w:tab/>
        <w:tab/>
        <w:t xml:space="preserve">z dnia 30 maja 2025 r. </w:t>
      </w:r>
    </w:p>
    <w:p>
      <w:pPr>
        <w:pStyle w:val="Normal"/>
        <w:spacing w:lineRule="auto" w:line="240"/>
        <w:jc w:val="left"/>
        <w:rPr/>
      </w:pPr>
      <w:r>
        <w:rPr/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  <w:b/>
          <w:shd w:fill="FFFFFF" w:val="clear"/>
        </w:rPr>
        <w:t xml:space="preserve">ANKIETA KONSULTACYJNA </w:t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  <w:b/>
          <w:shd w:fill="FFFFFF" w:val="clear"/>
        </w:rPr>
        <w:t>dotycząca projektu Gminnego Programu Rewitalizacji Gminy Bełżyce                                     na lata 2024 -2030</w:t>
      </w:r>
    </w:p>
    <w:p>
      <w:pPr>
        <w:pStyle w:val="Normal"/>
        <w:spacing w:lineRule="auto" w:line="240" w:before="0" w:after="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eastAsia="Times New Roman" w:cs="Calibri"/>
          <w:color w:val="202124"/>
          <w:shd w:fill="FFFFFF" w:val="clear"/>
          <w:lang w:eastAsia="pl-PL"/>
        </w:rPr>
      </w:pPr>
      <w:r>
        <w:rPr>
          <w:rFonts w:eastAsia="Times New Roman" w:cs="Calibri" w:ascii="Arial" w:hAnsi="Arial"/>
          <w:color w:val="202124"/>
          <w:shd w:fill="FFFFFF" w:val="clear"/>
          <w:lang w:eastAsia="pl-PL"/>
        </w:rPr>
        <w:t xml:space="preserve">Zapraszamy do wypełnienia krótkiej ankiety dotyczącej projektu Gminnego Programu Rewitalizacji Gminy Bełżyce na lata 2024 -2030. </w:t>
      </w:r>
    </w:p>
    <w:p>
      <w:pPr>
        <w:pStyle w:val="Normal"/>
        <w:spacing w:lineRule="auto" w:line="240" w:before="0" w:after="0"/>
        <w:rPr>
          <w:rFonts w:ascii="Arial" w:hAnsi="Arial" w:eastAsia="Times New Roman" w:cs="Calibri"/>
          <w:color w:val="202124"/>
          <w:shd w:fill="FFFFFF" w:val="clear"/>
          <w:lang w:eastAsia="pl-PL"/>
        </w:rPr>
      </w:pPr>
      <w:r>
        <w:rPr>
          <w:rFonts w:eastAsia="Times New Roman" w:cs="Calibri" w:ascii="Arial" w:hAnsi="Arial"/>
          <w:color w:val="202124"/>
          <w:shd w:fill="FFFFFF" w:val="clear"/>
          <w:lang w:eastAsia="pl-PL"/>
        </w:rPr>
        <w:t>Ankieta ma na celu poznanie Państwa opinii nt. przygotowanego dokumentu oraz przedsięwzięć rewitalizacyjnych w nim ujętych, które w perspektywie najbliższych lat będą realizowane przez Gminę Bełżyce oraz podmioty, które zgłosiły propozycje własnych przedsięwzięć. Działania te, będą ukierunkowane na ograniczenie zdiagnozowanych na obszarze rewitalizacji negatywnych zjawisk w sferach: społecznej, gospodarczej, środowiskowej, przestrzenno-funkcjonalnej i technicznej, a tym samym poprawę jakości życia mieszkańców Gminy Bełżyce. Właściwą odpowiedź proszę zaznaczyć wstawiając X</w:t>
      </w:r>
    </w:p>
    <w:p>
      <w:pPr>
        <w:pStyle w:val="Normal"/>
        <w:spacing w:lineRule="auto" w:line="240" w:before="0" w:after="0"/>
        <w:rPr>
          <w:rFonts w:ascii="Arial" w:hAnsi="Arial" w:eastAsia="Times New Roman" w:cs="Calibri"/>
          <w:color w:val="202124"/>
          <w:shd w:fill="FFFFFF" w:val="clear"/>
          <w:lang w:eastAsia="pl-PL"/>
        </w:rPr>
      </w:pPr>
      <w:r>
        <w:rPr>
          <w:rFonts w:eastAsia="Times New Roman" w:cs="Calibri" w:ascii="Arial" w:hAnsi="Arial"/>
          <w:color w:val="202124"/>
          <w:shd w:fill="FFFFFF" w:val="clear"/>
          <w:lang w:eastAsia="pl-PL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Arial" w:hAnsi="Arial" w:eastAsia="Times New Roman" w:cs="Calibri"/>
          <w:color w:val="202124"/>
          <w:lang w:eastAsia="pl-PL"/>
        </w:rPr>
      </w:pPr>
      <w:r>
        <w:rPr>
          <w:rFonts w:eastAsia="Times New Roman" w:cs="Calibri" w:ascii="Arial" w:hAnsi="Arial"/>
          <w:color w:val="202124"/>
          <w:lang w:eastAsia="pl-PL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Arial" w:hAnsi="Arial" w:eastAsia="Times New Roman" w:cs="Calibri"/>
          <w:b/>
          <w:b/>
          <w:bCs/>
          <w:lang w:eastAsia="pl-PL"/>
        </w:rPr>
      </w:pPr>
      <w:r>
        <w:rPr>
          <w:rFonts w:eastAsia="Times New Roman" w:cs="Calibri" w:ascii="Arial" w:hAnsi="Arial"/>
          <w:bCs/>
          <w:lang w:eastAsia="pl-PL"/>
        </w:rPr>
        <w:t xml:space="preserve">Konsultacje społeczne będą prowadzone </w:t>
      </w:r>
      <w:r>
        <w:rPr>
          <w:rFonts w:eastAsia="Times New Roman" w:cs="Calibri" w:ascii="Arial" w:hAnsi="Arial"/>
          <w:b/>
          <w:bCs/>
          <w:lang w:eastAsia="pl-PL"/>
        </w:rPr>
        <w:t xml:space="preserve">od 07 czerwca 2025 r. do 11 lipca 2025 r. </w:t>
      </w:r>
    </w:p>
    <w:p>
      <w:pPr>
        <w:pStyle w:val="Normal"/>
        <w:shd w:val="clear" w:color="auto" w:fill="FFFFFF"/>
        <w:spacing w:lineRule="auto" w:line="240" w:before="0" w:after="0"/>
        <w:rPr>
          <w:rFonts w:ascii="Arial" w:hAnsi="Arial"/>
        </w:rPr>
      </w:pPr>
      <w:r>
        <w:rPr>
          <w:rFonts w:eastAsia="Times New Roman" w:cs="Calibri" w:ascii="Arial" w:hAnsi="Arial"/>
          <w:bCs/>
          <w:lang w:eastAsia="pl-PL"/>
        </w:rPr>
        <w:t>Opinie, które wpłyną po tym terminie, nie będą uwzględniane.</w:t>
      </w:r>
    </w:p>
    <w:p>
      <w:pPr>
        <w:pStyle w:val="Tretekstu"/>
        <w:ind w:left="0" w:hanging="0"/>
        <w:jc w:val="left"/>
        <w:rPr>
          <w:rFonts w:ascii="Arial" w:hAnsi="Arial" w:cs="Calibri"/>
        </w:rPr>
      </w:pPr>
      <w:r>
        <w:rPr>
          <w:rFonts w:cs="Calibri" w:ascii="Arial" w:hAnsi="Arial"/>
        </w:rPr>
      </w:r>
    </w:p>
    <w:p>
      <w:pPr>
        <w:pStyle w:val="Tretekstu"/>
        <w:ind w:hanging="0"/>
        <w:jc w:val="left"/>
        <w:rPr>
          <w:rFonts w:ascii="Arial" w:hAnsi="Arial" w:cs="Calibri"/>
        </w:rPr>
      </w:pPr>
      <w:r>
        <w:rPr>
          <w:rFonts w:cs="Calibri" w:ascii="Arial" w:hAnsi="Arial"/>
        </w:rPr>
        <w:t>Właściwą odpowiedź proszę zaznaczyć wstawiając X</w:t>
      </w:r>
    </w:p>
    <w:p>
      <w:pPr>
        <w:pStyle w:val="Tretekstu"/>
        <w:jc w:val="left"/>
        <w:rPr>
          <w:rFonts w:ascii="Arial" w:hAnsi="Arial" w:cs="Calibri"/>
        </w:rPr>
      </w:pPr>
      <w:r>
        <w:rPr>
          <w:rFonts w:cs="Calibri" w:ascii="Arial" w:hAnsi="Arial"/>
        </w:rPr>
      </w:r>
    </w:p>
    <w:tbl>
      <w:tblPr>
        <w:tblStyle w:val="Tabela-Siatka"/>
        <w:tblW w:w="9172" w:type="dxa"/>
        <w:jc w:val="left"/>
        <w:tblInd w:w="1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700"/>
        <w:gridCol w:w="6387"/>
        <w:gridCol w:w="2085"/>
      </w:tblGrid>
      <w:tr>
        <w:trPr/>
        <w:tc>
          <w:tcPr>
            <w:tcW w:w="700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  <w:t>1</w:t>
            </w:r>
          </w:p>
        </w:tc>
        <w:tc>
          <w:tcPr>
            <w:tcW w:w="8472" w:type="dxa"/>
            <w:gridSpan w:val="2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  <w:t xml:space="preserve">Czy uczestniczył(a) Pan(i) w dotychczasowych pracach nad Gminnym Programem Rewitalizacji dla Gminy </w:t>
            </w: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  <w:t>Bełżyce</w:t>
            </w: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  <w:t>, w ramach: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  <w:t>(proszę zaznaczyć wszystkie działania, w których brał(a) Pan(i) udział)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gridSpan w:val="2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otwartych spotkań konsultacyjnych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gridSpan w:val="2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badań ankietowych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gridSpan w:val="2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zgłaszania propozycji przedsięwzięć rewitalizacyjnych do GPR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gridSpan w:val="2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 xml:space="preserve">  </w:t>
            </w: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zgłaszanie uwag ustnych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gridSpan w:val="2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 xml:space="preserve">  </w:t>
            </w: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Innych działań, jakich?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……………………………………………………………………………………………</w:t>
            </w: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.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………………………………………………………………………………………</w:t>
            </w: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.……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6387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nie uczestniczyłem / nie uczestniczyłam</w:t>
            </w:r>
          </w:p>
        </w:tc>
        <w:tc>
          <w:tcPr>
            <w:tcW w:w="2085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</w:tr>
    </w:tbl>
    <w:p>
      <w:pPr>
        <w:pStyle w:val="Tretekstu"/>
        <w:jc w:val="left"/>
        <w:rPr>
          <w:rFonts w:ascii="Arial" w:hAnsi="Arial" w:cs="Calibri"/>
        </w:rPr>
      </w:pPr>
      <w:r>
        <w:rPr>
          <w:rFonts w:cs="Calibri" w:ascii="Arial" w:hAnsi="Arial"/>
        </w:rPr>
      </w:r>
    </w:p>
    <w:p>
      <w:pPr>
        <w:pStyle w:val="Tretekstu"/>
        <w:jc w:val="left"/>
        <w:rPr>
          <w:rFonts w:ascii="Arial" w:hAnsi="Arial" w:cs="Calibri"/>
        </w:rPr>
      </w:pPr>
      <w:r>
        <w:rPr>
          <w:rFonts w:cs="Calibri" w:ascii="Arial" w:hAnsi="Arial"/>
        </w:rPr>
      </w:r>
    </w:p>
    <w:tbl>
      <w:tblPr>
        <w:tblStyle w:val="Tabela-Siatka"/>
        <w:tblW w:w="9172" w:type="dxa"/>
        <w:jc w:val="left"/>
        <w:tblInd w:w="1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699"/>
        <w:gridCol w:w="8472"/>
      </w:tblGrid>
      <w:tr>
        <w:trPr/>
        <w:tc>
          <w:tcPr>
            <w:tcW w:w="69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  <w:t>2</w:t>
            </w:r>
          </w:p>
        </w:tc>
        <w:tc>
          <w:tcPr>
            <w:tcW w:w="847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  <w:t>Czy z prezentowanego projektu dokumentu GPR jasno wynikają główne problemy i potrzeby rewitalizacyjne obszaru rewitalizacji w Gminie Bełżyce?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tak</w:t>
            </w:r>
          </w:p>
        </w:tc>
      </w:tr>
      <w:tr>
        <w:trPr/>
        <w:tc>
          <w:tcPr>
            <w:tcW w:w="69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nie – co by Pan(i) zmienił(a)/dodał(a)?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…………………………………………………………………………………………………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…………………………………………………………………………………………………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</w:tr>
    </w:tbl>
    <w:p>
      <w:pPr>
        <w:pStyle w:val="Tretekstu"/>
        <w:jc w:val="left"/>
        <w:rPr>
          <w:rFonts w:ascii="Arial" w:hAnsi="Arial" w:cs="Calibri"/>
        </w:rPr>
      </w:pPr>
      <w:r>
        <w:rPr>
          <w:rFonts w:cs="Calibri" w:ascii="Arial" w:hAnsi="Arial"/>
        </w:rPr>
      </w:r>
    </w:p>
    <w:p>
      <w:pPr>
        <w:pStyle w:val="Tretekstu"/>
        <w:jc w:val="left"/>
        <w:rPr>
          <w:rFonts w:ascii="Arial" w:hAnsi="Arial" w:cs="Calibri"/>
        </w:rPr>
      </w:pPr>
      <w:r>
        <w:rPr>
          <w:rFonts w:cs="Calibri" w:ascii="Arial" w:hAnsi="Arial"/>
        </w:rPr>
      </w:r>
    </w:p>
    <w:p>
      <w:pPr>
        <w:pStyle w:val="Tretekstu"/>
        <w:jc w:val="left"/>
        <w:rPr>
          <w:rFonts w:ascii="Arial" w:hAnsi="Arial" w:cs="Calibri"/>
        </w:rPr>
      </w:pPr>
      <w:r>
        <w:rPr>
          <w:rFonts w:cs="Calibri" w:ascii="Arial" w:hAnsi="Arial"/>
        </w:rPr>
      </w:r>
    </w:p>
    <w:p>
      <w:pPr>
        <w:pStyle w:val="Tretekstu"/>
        <w:jc w:val="left"/>
        <w:rPr>
          <w:rFonts w:ascii="Arial" w:hAnsi="Arial" w:cs="Calibri"/>
        </w:rPr>
      </w:pPr>
      <w:r>
        <w:rPr>
          <w:rFonts w:cs="Calibri" w:ascii="Arial" w:hAnsi="Arial"/>
        </w:rPr>
      </w:r>
    </w:p>
    <w:p>
      <w:pPr>
        <w:pStyle w:val="Tretekstu"/>
        <w:jc w:val="left"/>
        <w:rPr>
          <w:rFonts w:ascii="Arial" w:hAnsi="Arial" w:cs="Calibri"/>
        </w:rPr>
      </w:pPr>
      <w:r>
        <w:rPr>
          <w:rFonts w:cs="Calibri" w:ascii="Arial" w:hAnsi="Arial"/>
        </w:rPr>
      </w:r>
    </w:p>
    <w:tbl>
      <w:tblPr>
        <w:tblStyle w:val="Tabela-Siatka"/>
        <w:tblW w:w="9172" w:type="dxa"/>
        <w:jc w:val="left"/>
        <w:tblInd w:w="1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699"/>
        <w:gridCol w:w="8472"/>
      </w:tblGrid>
      <w:tr>
        <w:trPr/>
        <w:tc>
          <w:tcPr>
            <w:tcW w:w="69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  <w:t>3</w:t>
            </w:r>
          </w:p>
        </w:tc>
        <w:tc>
          <w:tcPr>
            <w:tcW w:w="847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  <w:t>Czy dokument wyczerpująco określa cele rewitalizacji oraz kierunki działań służące eliminacji zdiagnozowanych na obszarze rewitalizacji problemów?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tak</w:t>
            </w:r>
          </w:p>
        </w:tc>
      </w:tr>
      <w:tr>
        <w:trPr/>
        <w:tc>
          <w:tcPr>
            <w:tcW w:w="69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nie – co by Pan(i) zmienił(a)/dodał(a)?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…………………………………………………………………………………………………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…………………………………………………………………………………………………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</w:tr>
    </w:tbl>
    <w:p>
      <w:pPr>
        <w:pStyle w:val="Tretekstu"/>
        <w:jc w:val="left"/>
        <w:rPr>
          <w:rFonts w:ascii="Arial" w:hAnsi="Arial" w:cs="Calibri"/>
        </w:rPr>
      </w:pPr>
      <w:r>
        <w:rPr>
          <w:rFonts w:cs="Calibri" w:ascii="Arial" w:hAnsi="Arial"/>
        </w:rPr>
      </w:r>
    </w:p>
    <w:tbl>
      <w:tblPr>
        <w:tblStyle w:val="Tabela-Siatka"/>
        <w:tblW w:w="9172" w:type="dxa"/>
        <w:jc w:val="left"/>
        <w:tblInd w:w="1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699"/>
        <w:gridCol w:w="8472"/>
      </w:tblGrid>
      <w:tr>
        <w:trPr/>
        <w:tc>
          <w:tcPr>
            <w:tcW w:w="69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  <w:t>4</w:t>
            </w:r>
          </w:p>
        </w:tc>
        <w:tc>
          <w:tcPr>
            <w:tcW w:w="847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  <w:t>Czy realizacja założeń przedstawionych w projekcie Gminnego Programu Rewitalizacji przyczyni się Pana(i) zdaniem do ograniczenia zdiagnozowanych problemów?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69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zdecydowanie tak</w:t>
            </w:r>
          </w:p>
        </w:tc>
      </w:tr>
      <w:tr>
        <w:trPr/>
        <w:tc>
          <w:tcPr>
            <w:tcW w:w="69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raczej tak</w:t>
            </w:r>
          </w:p>
        </w:tc>
      </w:tr>
      <w:tr>
        <w:trPr/>
        <w:tc>
          <w:tcPr>
            <w:tcW w:w="69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raczej nie</w:t>
            </w:r>
          </w:p>
        </w:tc>
      </w:tr>
      <w:tr>
        <w:trPr/>
        <w:tc>
          <w:tcPr>
            <w:tcW w:w="69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zdecydowanie nie</w:t>
            </w:r>
          </w:p>
        </w:tc>
      </w:tr>
      <w:tr>
        <w:trPr/>
        <w:tc>
          <w:tcPr>
            <w:tcW w:w="69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  <w:t>trudno powiedzieć</w:t>
            </w:r>
          </w:p>
        </w:tc>
      </w:tr>
    </w:tbl>
    <w:p>
      <w:pPr>
        <w:pStyle w:val="Tretekstu"/>
        <w:jc w:val="left"/>
        <w:rPr>
          <w:rFonts w:ascii="Arial" w:hAnsi="Arial" w:cs="Calibri"/>
        </w:rPr>
      </w:pPr>
      <w:r>
        <w:rPr>
          <w:rFonts w:cs="Calibri" w:ascii="Arial" w:hAnsi="Arial"/>
        </w:rPr>
      </w:r>
    </w:p>
    <w:tbl>
      <w:tblPr>
        <w:tblStyle w:val="Tabela-Siatka"/>
        <w:tblW w:w="9172" w:type="dxa"/>
        <w:jc w:val="left"/>
        <w:tblInd w:w="1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699"/>
        <w:gridCol w:w="8472"/>
      </w:tblGrid>
      <w:tr>
        <w:trPr/>
        <w:tc>
          <w:tcPr>
            <w:tcW w:w="699" w:type="dxa"/>
            <w:vMerge w:val="restart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  <w:t>5</w:t>
            </w:r>
          </w:p>
        </w:tc>
        <w:tc>
          <w:tcPr>
            <w:tcW w:w="847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  <w:t xml:space="preserve">Które z wymienionych poniżej przedsięwzięć rewitalizacyjnych, zawartych w projekcie GPR, w największym stopniu, Pana(i) zdaniem mogą przyczynić się do poprawy funkcjonowania obszaru rewitalizacji? proszę wpisać maksymalnie 5 projektów 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Zielona Strefa Aktywności Spółdzielni – rewitalizacja terenu zielonego usytuowanego pomiędzy ul. Bychawską a ul. Fabryczną w Bełżycach (teren działek nr ewid. 1053/6; 1053/7; 1053/8; 1053/9; 1053/10 i 1053/11)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Termomodernizacja budynku mieszkalnego wielorodzinnego przy ul. ks. bp. T. Wilczyńskiego 75a w Bełżycach (działka nr ewid. 1315)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Termomodernizacja budynków mieszkalnych wielorodzinnych przy ul. Fabrycznej 1; ul. Bychawskiej 19 i ul. Bychawskiej 21 w Bełżycach (działki nr ewid. 1053/7; 1053/6 i 1053/8)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Strefa 1315 – rewitalizacja terenu zielonego oraz parkingu usytuowanego przy budynku mieszkalnym wielorodzinnym przy ul. ks. bp. T. Wilczyńskiego 75a w Bełżycach na działce nr ewid. 1315.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Parkingi Nowego Osiedla – rewitalizacja parkingów usytuowanych pomiędzy ul. Bychawską a ul. Fabryczną w Bełżycach (teren działek nr ewid. 1053/9; 1053/10 i 1053/11)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Rewitalizacja zdegradowanej przestrzeni publicznej wraz z przebudową zbiornika wodnego na cele turystyczne i kulturalne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Rewitalizacja budynku po byłej szkole podstawowej w Starych Wierzchowiskach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Bełżyckie jarmarki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Dostępny urząd – stworzenie przestrzeni przyjaznej dla osób ze szczególnymi potrzebami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Termomodernizacja budynku administracyjnego  przy ul. Fabrycznej 2B w Bełżycach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Dostępna przestrzeń miejska - utworzenie integracyjnego placu zabaw w Bełżycach ul. Bychawska.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Wykluczeniu społecznemu mówimy NIE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Klub Aktywni w Rodzinie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Wysoka jakość kształcenia – Aktywny Uczeń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Objazdowe kino plenerowe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Zwiększenie dostępności w zakresie działań kulturalnych organizowanych przez MDK Bełżyce dla Mieszkańców Gminy Bełżyce</w:t>
            </w:r>
          </w:p>
        </w:tc>
      </w:tr>
      <w:tr>
        <w:trPr/>
        <w:tc>
          <w:tcPr>
            <w:tcW w:w="699" w:type="dxa"/>
            <w:vMerge w:val="continue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Modernizacja pomieszczeń Jednostki Ratowniczo Gaśniczej w Bełżycach.</w:t>
            </w:r>
          </w:p>
        </w:tc>
      </w:tr>
      <w:tr>
        <w:trPr/>
        <w:tc>
          <w:tcPr>
            <w:tcW w:w="69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8472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1.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2.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3.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4.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pl-PL" w:bidi="ar-SA"/>
              </w:rPr>
              <w:t>5.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rPr>
                <w:rFonts w:ascii="Arial" w:hAnsi="Arial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pl-PL" w:eastAsia="en-US" w:bidi="ar-SA"/>
              </w:rPr>
            </w:r>
          </w:p>
        </w:tc>
      </w:tr>
    </w:tbl>
    <w:p>
      <w:pPr>
        <w:pStyle w:val="Tretekstu"/>
        <w:jc w:val="left"/>
        <w:rPr>
          <w:rFonts w:ascii="Arial" w:hAnsi="Arial" w:cs="Calibri"/>
        </w:rPr>
      </w:pPr>
      <w:r>
        <w:rPr>
          <w:rFonts w:cs="Calibri" w:ascii="Arial" w:hAnsi="Arial"/>
        </w:rPr>
      </w:r>
    </w:p>
    <w:p>
      <w:pPr>
        <w:pStyle w:val="Tretekstu"/>
        <w:jc w:val="left"/>
        <w:rPr>
          <w:rFonts w:ascii="Arial" w:hAnsi="Arial" w:cs="Calibri"/>
        </w:rPr>
      </w:pPr>
      <w:r>
        <w:rPr>
          <w:rFonts w:cs="Calibri" w:ascii="Arial" w:hAnsi="Arial"/>
        </w:rPr>
      </w:r>
    </w:p>
    <w:tbl>
      <w:tblPr>
        <w:tblStyle w:val="Tabela-Siatka"/>
        <w:tblW w:w="9172" w:type="dxa"/>
        <w:jc w:val="left"/>
        <w:tblInd w:w="1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102"/>
        <w:gridCol w:w="5069"/>
      </w:tblGrid>
      <w:tr>
        <w:trPr/>
        <w:tc>
          <w:tcPr>
            <w:tcW w:w="410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eastAsia="Times New Roman" w:cs="Arial"/>
                <w:b/>
                <w:b/>
                <w:color w:val="000000"/>
                <w:lang w:eastAsia="pl-PL"/>
              </w:rPr>
            </w:pPr>
            <w:r>
              <w:rPr>
                <w:rFonts w:eastAsia="Times New Roman" w:cs="Arial" w:ascii="Arial" w:hAnsi="Arial"/>
                <w:b/>
                <w:color w:val="000000"/>
                <w:kern w:val="0"/>
                <w:sz w:val="22"/>
                <w:szCs w:val="22"/>
                <w:lang w:val="pl-PL" w:eastAsia="pl-PL" w:bidi="ar-SA"/>
              </w:rPr>
              <w:t>Imię i nazwisko</w:t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cs="Calibri" w:ascii="Arial" w:hAnsi="Arial"/>
                <w:b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06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4102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  <w:b/>
                <w:b/>
              </w:rPr>
            </w:pPr>
            <w:r>
              <w:rPr>
                <w:rFonts w:eastAsia="Times New Roman" w:cs="Arial" w:ascii="Arial" w:hAnsi="Arial"/>
                <w:b/>
                <w:color w:val="000000"/>
                <w:kern w:val="0"/>
                <w:sz w:val="22"/>
                <w:szCs w:val="22"/>
                <w:lang w:val="pl-PL" w:eastAsia="pl-PL" w:bidi="ar-SA"/>
              </w:rPr>
              <w:t>Dane kontaktowe: nr telefonu, adres                   e-mail, adres korespondencyjny</w:t>
            </w:r>
          </w:p>
        </w:tc>
        <w:tc>
          <w:tcPr>
            <w:tcW w:w="5069" w:type="dxa"/>
            <w:tcBorders/>
          </w:tcPr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Tretekstu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Arial" w:hAnsi="Arial" w:cs="Calibri"/>
              </w:rPr>
            </w:pPr>
            <w:r>
              <w:rPr>
                <w:rFonts w:cs="Calibri" w:ascii="Arial" w:hAnsi="Arial"/>
                <w:kern w:val="0"/>
                <w:sz w:val="22"/>
                <w:szCs w:val="22"/>
                <w:lang w:val="pl-PL" w:eastAsia="en-US" w:bidi="ar-SA"/>
              </w:rPr>
            </w:r>
          </w:p>
        </w:tc>
      </w:tr>
    </w:tbl>
    <w:p>
      <w:pPr>
        <w:pStyle w:val="Tretekstu"/>
        <w:jc w:val="left"/>
        <w:rPr>
          <w:rFonts w:ascii="Arial" w:hAnsi="Arial" w:cs="Calibri"/>
        </w:rPr>
      </w:pPr>
      <w:r>
        <w:rPr>
          <w:rFonts w:cs="Calibri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Calibri"/>
          <w:b/>
          <w:b/>
        </w:rPr>
      </w:pPr>
      <w:r>
        <w:rPr>
          <w:rFonts w:cs="Calibri" w:ascii="Arial" w:hAnsi="Arial"/>
          <w:b/>
        </w:rPr>
      </w:r>
    </w:p>
    <w:p>
      <w:pPr>
        <w:pStyle w:val="Normal"/>
        <w:spacing w:lineRule="auto" w:line="240" w:before="0" w:after="0"/>
        <w:rPr>
          <w:rFonts w:ascii="Arial" w:hAnsi="Arial" w:cs="Calibri"/>
        </w:rPr>
      </w:pPr>
      <w:r>
        <w:rPr>
          <w:rFonts w:cs="Calibri" w:ascii="Arial" w:hAnsi="Arial"/>
          <w:b/>
        </w:rPr>
        <w:t xml:space="preserve">Oświadczam, że zapoznałem/am się z klauzulą informacyjną o ochronie danych osobowych w związku z prowadzonymi konsultacjami społecznymi projektu Gminnego Programu Rewitalizacji Gminy Bełżyce na lata 2024 – 2030 </w:t>
      </w:r>
      <w:r>
        <w:rPr>
          <w:rFonts w:cs="Calibri" w:ascii="Arial" w:hAnsi="Arial"/>
        </w:rPr>
        <w:t>o poniższej treści:</w:t>
      </w:r>
    </w:p>
    <w:p>
      <w:pPr>
        <w:pStyle w:val="Normal"/>
        <w:spacing w:lineRule="auto" w:line="240" w:before="0" w:after="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Calibri" w:ascii="Arial" w:hAnsi="Arial"/>
        </w:rPr>
        <w:t xml:space="preserve">Zgodnie z art. 13 ust. 1 Rozporządzenia Parlamentu Europejskiego i Rady (UE) 2016/679                       z dnia 27 kwietnia 2016 r. w sprawie ochrony osób fizycznych w związku z przetwarzaniem danych osobowych i w sprawie swobodnego przepływu takich danych oraz uchylenia dyrektywy 95/46/WE (ogólne rozporządzenie o ochronie danych zwane RODO), w związku                               </w:t>
      </w:r>
      <w:r>
        <w:rPr>
          <w:rFonts w:cs="Arial" w:ascii="Arial" w:hAnsi="Arial"/>
        </w:rPr>
        <w:t>z prowadzeniem działań konsultacyjnych projektu Gminnego Programu Rewitalizacji Gminy Bełżyce na lata 2024 -2030, informujemy że:</w:t>
      </w:r>
    </w:p>
    <w:p>
      <w:pPr>
        <w:pStyle w:val="NormalWeb"/>
        <w:numPr>
          <w:ilvl w:val="0"/>
          <w:numId w:val="2"/>
        </w:numPr>
        <w:spacing w:lineRule="auto" w:line="240" w:beforeAutospacing="0" w:before="238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Administratorem Pana/Pani danych osobowych jest Burmistrz Bełżyc/Gmina Bełżyce                        z siedzibą w Bełżycach ul. Lubelska 3, 24-200 Bełżyce, tel. 81517 27 28, adres e-mail: gmina@belzyce.pl. </w:t>
      </w:r>
    </w:p>
    <w:p>
      <w:pPr>
        <w:pStyle w:val="NormalWeb"/>
        <w:numPr>
          <w:ilvl w:val="0"/>
          <w:numId w:val="2"/>
        </w:numPr>
        <w:spacing w:lineRule="auto" w:line="240" w:beforeAutospacing="0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Inspektorem Ochrony Danych jest Marek Świć, adres e-mail: marek@swic.pl, adres do korespondencji: ul. Lubelska 3, 24-200 Bełżyce. </w:t>
      </w:r>
    </w:p>
    <w:p>
      <w:pPr>
        <w:pStyle w:val="NormalWeb"/>
        <w:numPr>
          <w:ilvl w:val="0"/>
          <w:numId w:val="2"/>
        </w:numPr>
        <w:spacing w:lineRule="auto" w:line="240" w:beforeAutospacing="0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Pani/Pana dane osobowe przetwarzane będą w celu związanym z udziałem w konsultacjach społecznych projektu Gminnego Programu Rewitalizacji Gminy Bełżyce na lata 2024 - 2030, na podstawie art. 6 ust. 1 lit. c RODO (przetwarzanie jest niezbędne do wypełnienia obowiązku prawnego ciążącego na administratorze) w zw. z 6 ust. 3 Ustawy z dnia 6 grudnia 2006 r.o zasadach prowadzenia polityki rozwoju.</w:t>
      </w:r>
    </w:p>
    <w:p>
      <w:pPr>
        <w:pStyle w:val="NormalWeb"/>
        <w:numPr>
          <w:ilvl w:val="0"/>
          <w:numId w:val="2"/>
        </w:numPr>
        <w:spacing w:lineRule="auto" w:line="240" w:beforeAutospacing="0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Podanie danych osobowych jest dobrowolne, jednocześnie odmowa ich podania jest równoznaczna z brakiem możliwości udziału w działaniach konsultacyjnych projektu Gminnego Programu Rewitalizacji Gminy Bełżyce na lata 2024 - 2030.</w:t>
      </w:r>
    </w:p>
    <w:p>
      <w:pPr>
        <w:pStyle w:val="NormalWeb"/>
        <w:numPr>
          <w:ilvl w:val="0"/>
          <w:numId w:val="2"/>
        </w:numPr>
        <w:spacing w:lineRule="auto" w:line="240" w:beforeAutospacing="0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Dane osobowe mogą być przekazywane innym organom i podmiotom zaangażowanym </w:t>
        <w:br/>
        <w:t>w proces opracowania projektu Gminnego Programu Rewitalizacji Gminy Bełżyce 2024 – 2030 wyłącznie na podstawie obowiązujących przepisów prawa, w tym Ustawy o dostępie do informacji publicznej.</w:t>
      </w:r>
    </w:p>
    <w:p>
      <w:pPr>
        <w:pStyle w:val="NormalWeb"/>
        <w:numPr>
          <w:ilvl w:val="0"/>
          <w:numId w:val="2"/>
        </w:numPr>
        <w:spacing w:lineRule="auto" w:line="240" w:beforeAutospacing="0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Podane przez Pani/Pana dane osobowe będą przetwarzane przez okres niezbędny do realizacji celu, o którym mowa w pkt 3 tj. przez okres obowiązywania „Gminnego                     Programu Rewitalizacji Gminy Bełżyce na lata 2024 – 2030” oraz w obowiązkowym okresie przechowywania dokumentacji związanej z realizacją umowy, ustalonym zgodnie z odrębnymi przepisami tj. Rozporządzeniem Prezesa Rady Ministrów w sprawie instrukcji kancelaryjnej, jednolitych rzeczowych wykazów akt oraz instrukcji w sprawie organizacji                  i zakresu działania archiwów zakładowych.</w:t>
      </w:r>
    </w:p>
    <w:p>
      <w:pPr>
        <w:pStyle w:val="NormalWeb"/>
        <w:numPr>
          <w:ilvl w:val="0"/>
          <w:numId w:val="2"/>
        </w:numPr>
        <w:spacing w:lineRule="auto" w:line="240" w:beforeAutospacing="0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W związku z przetwarzaniem Pani/Pana danych osobowych przez Administratora - przysługują Pani/Panu prawo dostępu do treści swoich danych, prawo sprostowania swoich danych osobowych, prawo do usunięcia danych, prawo do ograniczenia przetwarzania, prawo do przenoszenia danych, prawo wniesienia sprzeciwu.</w:t>
      </w:r>
    </w:p>
    <w:p>
      <w:pPr>
        <w:pStyle w:val="NormalWeb"/>
        <w:numPr>
          <w:ilvl w:val="0"/>
          <w:numId w:val="2"/>
        </w:numPr>
        <w:spacing w:lineRule="auto" w:line="240" w:beforeAutospacing="0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Ma Pani/Pan prawo do wniesienia skargi do Prezesa Urzędu Ochrony Danych Osobowych, ul. Stawki 2, 00-193 Warszawa, gdyby przetwarzanie Pana/i danych osobowych naruszało przepisy RODO.</w:t>
      </w:r>
    </w:p>
    <w:p>
      <w:pPr>
        <w:pStyle w:val="NormalWeb"/>
        <w:numPr>
          <w:ilvl w:val="0"/>
          <w:numId w:val="2"/>
        </w:numPr>
        <w:spacing w:lineRule="auto" w:line="240" w:beforeAutospacing="0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Pani/Pana dane osobowe nie będą przekazywane do państw trzecich lub organizacji międzynarodowych za wyjątkiem sytuacji wynikających z przepisów prawa.</w:t>
      </w:r>
    </w:p>
    <w:p>
      <w:pPr>
        <w:pStyle w:val="Western"/>
        <w:numPr>
          <w:ilvl w:val="0"/>
          <w:numId w:val="2"/>
        </w:numPr>
        <w:spacing w:lineRule="auto" w:line="240" w:beforeAutospacing="0" w:before="215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Pani/Pana dane osobowe nie podlegają automatycznemu przetwarzaniu i profilowaniu. </w:t>
      </w:r>
    </w:p>
    <w:p>
      <w:pPr>
        <w:pStyle w:val="Western"/>
        <w:spacing w:before="280" w:after="142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Zapoznałam/em się z powyższymi informacjami.</w:t>
      </w:r>
    </w:p>
    <w:p>
      <w:pPr>
        <w:pStyle w:val="Western"/>
        <w:spacing w:lineRule="auto" w:line="240" w:before="28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Western"/>
        <w:spacing w:lineRule="auto" w:line="240" w:before="28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Western"/>
        <w:spacing w:lineRule="auto" w:line="240" w:before="28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…………………………………                   ……</w:t>
      </w:r>
      <w:r>
        <w:rPr>
          <w:rFonts w:cs="Arial" w:ascii="Arial" w:hAnsi="Arial"/>
          <w:sz w:val="22"/>
          <w:szCs w:val="22"/>
        </w:rPr>
        <w:t>. ………...…………………………………….</w:t>
      </w:r>
    </w:p>
    <w:p>
      <w:pPr>
        <w:pStyle w:val="Western"/>
        <w:spacing w:lineRule="auto" w:line="240" w:beforeAutospacing="0"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i/>
          <w:iCs/>
          <w:sz w:val="22"/>
          <w:szCs w:val="22"/>
        </w:rPr>
        <w:t xml:space="preserve">(data) </w:t>
        <w:tab/>
        <w:tab/>
        <w:tab/>
        <w:tab/>
        <w:tab/>
        <w:tab/>
        <w:t xml:space="preserve">                (podpis składającego wniosek)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Palatino Linotype">
    <w:charset w:val="ee"/>
    <w:family w:val="roman"/>
    <w:pitch w:val="variable"/>
  </w:font>
  <w:font w:name="Cambria">
    <w:charset w:val="ee"/>
    <w:family w:val="roman"/>
    <w:pitch w:val="variable"/>
  </w:font>
  <w:font w:name="Tahoma">
    <w:charset w:val="ee"/>
    <w:family w:val="roman"/>
    <w:pitch w:val="variable"/>
  </w:font>
  <w:font w:name="Arial MT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Nagwek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72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108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144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800" w:hanging="144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80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216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880" w:hanging="252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252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/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/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/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/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/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/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alatino Linotype" w:hAnsi="Palatino Linotype" w:eastAsia="Palatino Linotype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1" w:qFormat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03721"/>
    <w:pPr>
      <w:widowControl/>
      <w:suppressAutoHyphens w:val="true"/>
      <w:bidi w:val="0"/>
      <w:spacing w:lineRule="auto" w:line="276" w:before="0" w:after="200"/>
      <w:jc w:val="both"/>
    </w:pPr>
    <w:rPr>
      <w:rFonts w:ascii="Cambria" w:hAnsi="Cambria" w:eastAsia="Palatino Linotype" w:cs="" w:cstheme="minorBidi" w:eastAsiaTheme="minorHAnsi"/>
      <w:color w:val="auto"/>
      <w:kern w:val="0"/>
      <w:sz w:val="22"/>
      <w:szCs w:val="22"/>
      <w:lang w:val="pl-PL" w:eastAsia="en-US" w:bidi="ar-SA"/>
    </w:rPr>
  </w:style>
  <w:style w:type="paragraph" w:styleId="Nagwek1" w:customStyle="1">
    <w:name w:val="Heading 1"/>
    <w:basedOn w:val="Normal"/>
    <w:next w:val="Normal"/>
    <w:link w:val="Nagwek1Znak"/>
    <w:autoRedefine/>
    <w:uiPriority w:val="9"/>
    <w:qFormat/>
    <w:rsid w:val="00d62752"/>
    <w:pPr>
      <w:keepNext w:val="true"/>
      <w:keepLines/>
      <w:pageBreakBefore/>
      <w:numPr>
        <w:ilvl w:val="0"/>
        <w:numId w:val="1"/>
      </w:numPr>
      <w:shd w:val="clear" w:color="auto" w:fill="D9D9D9" w:themeFill="background1" w:themeFillShade="d9"/>
      <w:spacing w:lineRule="auto" w:line="240" w:before="480" w:after="480"/>
      <w:outlineLvl w:val="0"/>
    </w:pPr>
    <w:rPr>
      <w:rFonts w:eastAsia="" w:cs="" w:cstheme="majorBidi" w:eastAsiaTheme="majorEastAsia"/>
      <w:b/>
      <w:bCs/>
      <w:color w:val="2B5258" w:themeColor="accent5" w:themeShade="80"/>
      <w:sz w:val="26"/>
      <w:szCs w:val="28"/>
    </w:rPr>
  </w:style>
  <w:style w:type="paragraph" w:styleId="Nagwek2" w:customStyle="1">
    <w:name w:val="Heading 2"/>
    <w:basedOn w:val="Normal"/>
    <w:next w:val="Normal"/>
    <w:link w:val="Nagwek2Znak"/>
    <w:autoRedefine/>
    <w:uiPriority w:val="9"/>
    <w:unhideWhenUsed/>
    <w:qFormat/>
    <w:rsid w:val="00d62752"/>
    <w:pPr>
      <w:keepNext w:val="true"/>
      <w:keepLines/>
      <w:pBdr>
        <w:bottom w:val="single" w:sz="4" w:space="1" w:color="000000"/>
      </w:pBdr>
      <w:spacing w:before="320" w:after="120"/>
      <w:outlineLvl w:val="1"/>
    </w:pPr>
    <w:rPr>
      <w:rFonts w:eastAsia="" w:cs="" w:cstheme="majorBidi" w:eastAsiaTheme="majorEastAsia"/>
      <w:b/>
      <w:bCs/>
      <w:color w:val="417A84" w:themeColor="accent5" w:themeShade="bf"/>
      <w:sz w:val="24"/>
      <w:szCs w:val="26"/>
    </w:rPr>
  </w:style>
  <w:style w:type="paragraph" w:styleId="Nagwek3" w:customStyle="1">
    <w:name w:val="Heading 3"/>
    <w:basedOn w:val="Normal"/>
    <w:next w:val="Normal"/>
    <w:link w:val="Nagwek3Znak"/>
    <w:autoRedefine/>
    <w:uiPriority w:val="9"/>
    <w:unhideWhenUsed/>
    <w:qFormat/>
    <w:rsid w:val="00d62752"/>
    <w:pPr>
      <w:keepNext w:val="true"/>
      <w:keepLines/>
      <w:spacing w:before="200" w:after="0"/>
      <w:outlineLvl w:val="2"/>
    </w:pPr>
    <w:rPr>
      <w:rFonts w:eastAsia="" w:cs="" w:cstheme="majorBidi" w:eastAsiaTheme="majorEastAsia"/>
      <w:b/>
      <w:bCs/>
      <w:color w:val="A6A6A6" w:themeColor="background1" w:themeShade="a6"/>
    </w:rPr>
  </w:style>
  <w:style w:type="paragraph" w:styleId="Nagwek4" w:customStyle="1">
    <w:name w:val="Heading 4"/>
    <w:basedOn w:val="Normal"/>
    <w:next w:val="Normal"/>
    <w:link w:val="Nagwek4Znak"/>
    <w:uiPriority w:val="9"/>
    <w:unhideWhenUsed/>
    <w:qFormat/>
    <w:rsid w:val="00b03721"/>
    <w:pPr>
      <w:keepNext w:val="true"/>
      <w:keepLines/>
      <w:spacing w:before="320" w:after="120"/>
      <w:outlineLvl w:val="3"/>
    </w:pPr>
    <w:rPr>
      <w:rFonts w:eastAsia="" w:cs="" w:cstheme="majorBidi" w:eastAsiaTheme="majorEastAsia"/>
      <w:b/>
      <w:bCs/>
      <w:i/>
      <w:iCs/>
      <w:color w:val="629DD1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3Znak" w:customStyle="1">
    <w:name w:val="Nagłówek 3 Znak"/>
    <w:basedOn w:val="DefaultParagraphFont"/>
    <w:uiPriority w:val="9"/>
    <w:qFormat/>
    <w:rsid w:val="00d62752"/>
    <w:rPr>
      <w:rFonts w:ascii="Cambria" w:hAnsi="Cambria" w:eastAsia="" w:cs="" w:cstheme="majorBidi" w:eastAsiaTheme="majorEastAsia"/>
      <w:b/>
      <w:bCs/>
      <w:color w:val="A6A6A6" w:themeColor="background1" w:themeShade="a6"/>
    </w:rPr>
  </w:style>
  <w:style w:type="character" w:styleId="Nagwek4Znak" w:customStyle="1">
    <w:name w:val="Nagłówek 4 Znak"/>
    <w:basedOn w:val="DefaultParagraphFont"/>
    <w:uiPriority w:val="9"/>
    <w:qFormat/>
    <w:rsid w:val="00b03721"/>
    <w:rPr>
      <w:rFonts w:ascii="Cambria" w:hAnsi="Cambria" w:eastAsia="" w:cs="" w:cstheme="majorBidi" w:eastAsiaTheme="majorEastAsia"/>
      <w:b/>
      <w:bCs/>
      <w:i/>
      <w:iCs/>
      <w:color w:val="629DD1" w:themeColor="accent1"/>
    </w:rPr>
  </w:style>
  <w:style w:type="character" w:styleId="Nagwek1Znak" w:customStyle="1">
    <w:name w:val="Nagłówek 1 Znak"/>
    <w:basedOn w:val="DefaultParagraphFont"/>
    <w:uiPriority w:val="9"/>
    <w:qFormat/>
    <w:rsid w:val="00d62752"/>
    <w:rPr>
      <w:rFonts w:ascii="Cambria" w:hAnsi="Cambria" w:eastAsia="" w:cs="" w:cstheme="majorBidi" w:eastAsiaTheme="majorEastAsia"/>
      <w:b/>
      <w:bCs/>
      <w:color w:val="2B5258" w:themeColor="accent5" w:themeShade="80"/>
      <w:sz w:val="26"/>
      <w:szCs w:val="28"/>
      <w:shd w:fill="D9D9D9" w:val="clear"/>
    </w:rPr>
  </w:style>
  <w:style w:type="character" w:styleId="Nagwek2Znak" w:customStyle="1">
    <w:name w:val="Nagłówek 2 Znak"/>
    <w:basedOn w:val="DefaultParagraphFont"/>
    <w:uiPriority w:val="9"/>
    <w:qFormat/>
    <w:rsid w:val="00d62752"/>
    <w:rPr>
      <w:rFonts w:ascii="Cambria" w:hAnsi="Cambria" w:eastAsia="" w:cs="" w:cstheme="majorBidi" w:eastAsiaTheme="majorEastAsia"/>
      <w:b/>
      <w:bCs/>
      <w:color w:val="417A84" w:themeColor="accent5" w:themeShade="bf"/>
      <w:sz w:val="24"/>
      <w:szCs w:val="26"/>
    </w:rPr>
  </w:style>
  <w:style w:type="character" w:styleId="Wyrnienie" w:customStyle="1">
    <w:name w:val="Wyróżnienie"/>
    <w:basedOn w:val="DefaultParagraphFont"/>
    <w:uiPriority w:val="20"/>
    <w:qFormat/>
    <w:rsid w:val="00b03721"/>
    <w:rPr>
      <w:rFonts w:ascii="Cambria" w:hAnsi="Cambria"/>
      <w:b w:val="false"/>
      <w:i w:val="false"/>
      <w:iCs/>
      <w:sz w:val="18"/>
    </w:rPr>
  </w:style>
  <w:style w:type="character" w:styleId="BezodstpwZnak" w:customStyle="1">
    <w:name w:val="Bez odstępów Znak"/>
    <w:basedOn w:val="DefaultParagraphFont"/>
    <w:link w:val="NoSpacing"/>
    <w:uiPriority w:val="1"/>
    <w:qFormat/>
    <w:rsid w:val="00b03721"/>
    <w:rPr>
      <w:rFonts w:eastAsia="" w:eastAsiaTheme="minorEastAsia"/>
      <w:lang w:eastAsia="pl-PL"/>
    </w:rPr>
  </w:style>
  <w:style w:type="character" w:styleId="AkapitzlistZnak" w:customStyle="1">
    <w:name w:val="Akapit z listą Znak"/>
    <w:basedOn w:val="DefaultParagraphFont"/>
    <w:link w:val="ListParagraph"/>
    <w:uiPriority w:val="34"/>
    <w:qFormat/>
    <w:locked/>
    <w:rsid w:val="00b03721"/>
    <w:rPr>
      <w:rFonts w:ascii="Cambria" w:hAnsi="Cambria"/>
    </w:rPr>
  </w:style>
  <w:style w:type="character" w:styleId="Czeinternetowe" w:customStyle="1">
    <w:name w:val="Łącze internetowe"/>
    <w:rsid w:val="00bc6fac"/>
    <w:rPr>
      <w:color w:val="000080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5b7e49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Annotationtext"/>
    <w:uiPriority w:val="99"/>
    <w:semiHidden/>
    <w:qFormat/>
    <w:rsid w:val="005b7e49"/>
    <w:rPr>
      <w:rFonts w:ascii="Cambria" w:hAnsi="Cambria"/>
      <w:sz w:val="20"/>
      <w:szCs w:val="2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5b7e49"/>
    <w:rPr>
      <w:rFonts w:ascii="Cambria" w:hAnsi="Cambria"/>
      <w:b/>
      <w:bCs/>
      <w:sz w:val="20"/>
      <w:szCs w:val="20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5b7e49"/>
    <w:rPr>
      <w:rFonts w:ascii="Tahoma" w:hAnsi="Tahoma" w:cs="Tahoma"/>
      <w:sz w:val="16"/>
      <w:szCs w:val="16"/>
    </w:rPr>
  </w:style>
  <w:style w:type="character" w:styleId="UnresolvedMention" w:customStyle="1">
    <w:name w:val="Unresolved Mention"/>
    <w:basedOn w:val="DefaultParagraphFont"/>
    <w:uiPriority w:val="99"/>
    <w:semiHidden/>
    <w:unhideWhenUsed/>
    <w:qFormat/>
    <w:rsid w:val="00ec4e0e"/>
    <w:rPr>
      <w:color w:val="605E5C"/>
      <w:shd w:fill="E1DFDD" w:val="clear"/>
    </w:rPr>
  </w:style>
  <w:style w:type="character" w:styleId="TekstpodstawowyZnak" w:customStyle="1">
    <w:name w:val="Tekst podstawowy Znak"/>
    <w:basedOn w:val="DefaultParagraphFont"/>
    <w:uiPriority w:val="1"/>
    <w:qFormat/>
    <w:rsid w:val="005e37aa"/>
    <w:rPr>
      <w:rFonts w:ascii="Arial MT" w:hAnsi="Arial MT" w:eastAsia="Arial MT" w:cs="Arial MT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link w:val="TekstpodstawowyZnak"/>
    <w:uiPriority w:val="1"/>
    <w:qFormat/>
    <w:rsid w:val="005e37aa"/>
    <w:pPr>
      <w:widowControl w:val="false"/>
      <w:spacing w:lineRule="auto" w:line="240" w:before="0" w:after="0"/>
      <w:ind w:left="116" w:hanging="0"/>
    </w:pPr>
    <w:rPr>
      <w:rFonts w:ascii="Arial MT" w:hAnsi="Arial MT" w:eastAsia="Arial MT" w:cs="Arial MT"/>
    </w:rPr>
  </w:style>
  <w:style w:type="paragraph" w:styleId="Lista">
    <w:name w:val="List"/>
    <w:basedOn w:val="Tretekstu"/>
    <w:rsid w:val="006a1d1f"/>
    <w:pPr/>
    <w:rPr>
      <w:rFonts w:cs="Lucida Sans"/>
    </w:rPr>
  </w:style>
  <w:style w:type="paragraph" w:styleId="Podpis" w:customStyle="1">
    <w:name w:val="Caption"/>
    <w:basedOn w:val="Normal"/>
    <w:qFormat/>
    <w:rsid w:val="006a1d1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 w:customStyle="1">
    <w:name w:val="Indeks"/>
    <w:basedOn w:val="Normal"/>
    <w:qFormat/>
    <w:rsid w:val="006a1d1f"/>
    <w:pPr>
      <w:suppressLineNumbers/>
    </w:pPr>
    <w:rPr>
      <w:rFonts w:cs="Lucida Sans"/>
    </w:rPr>
  </w:style>
  <w:style w:type="paragraph" w:styleId="Gwkaistopka" w:customStyle="1">
    <w:name w:val="Główka i stopka"/>
    <w:basedOn w:val="Normal"/>
    <w:qFormat/>
    <w:rsid w:val="00ab2abb"/>
    <w:pPr/>
    <w:rPr/>
  </w:style>
  <w:style w:type="paragraph" w:styleId="Gwka" w:customStyle="1">
    <w:name w:val="Header"/>
    <w:basedOn w:val="Normal"/>
    <w:next w:val="Tretekstu"/>
    <w:qFormat/>
    <w:rsid w:val="006a1d1f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">
    <w:name w:val="caption"/>
    <w:basedOn w:val="Normal"/>
    <w:next w:val="Normal"/>
    <w:uiPriority w:val="35"/>
    <w:unhideWhenUsed/>
    <w:qFormat/>
    <w:rsid w:val="00b03721"/>
    <w:pPr>
      <w:spacing w:lineRule="auto" w:line="240"/>
    </w:pPr>
    <w:rPr>
      <w:b/>
      <w:bCs/>
      <w:color w:val="629DD1" w:themeColor="accent1"/>
      <w:sz w:val="18"/>
      <w:szCs w:val="18"/>
    </w:rPr>
  </w:style>
  <w:style w:type="paragraph" w:styleId="NoSpacing">
    <w:name w:val="No Spacing"/>
    <w:link w:val="BezodstpwZnak"/>
    <w:uiPriority w:val="1"/>
    <w:qFormat/>
    <w:rsid w:val="00b03721"/>
    <w:pPr>
      <w:widowControl/>
      <w:suppressAutoHyphens w:val="true"/>
      <w:bidi w:val="0"/>
      <w:spacing w:before="0" w:after="0"/>
      <w:jc w:val="left"/>
    </w:pPr>
    <w:rPr>
      <w:rFonts w:ascii="Palatino Linotype" w:hAnsi="Palatino Linotype" w:eastAsia="" w:eastAsiaTheme="minorEastAsia" w:cs=""/>
      <w:color w:val="auto"/>
      <w:kern w:val="0"/>
      <w:sz w:val="22"/>
      <w:szCs w:val="22"/>
      <w:lang w:eastAsia="pl-PL" w:val="pl-PL" w:bidi="ar-SA"/>
    </w:rPr>
  </w:style>
  <w:style w:type="paragraph" w:styleId="ListParagraph">
    <w:name w:val="List Paragraph"/>
    <w:basedOn w:val="Normal"/>
    <w:link w:val="AkapitzlistZnak"/>
    <w:uiPriority w:val="34"/>
    <w:qFormat/>
    <w:rsid w:val="00b03721"/>
    <w:pPr>
      <w:spacing w:before="0" w:after="200"/>
      <w:ind w:left="720" w:hanging="0"/>
      <w:contextualSpacing/>
    </w:pPr>
    <w:rPr/>
  </w:style>
  <w:style w:type="paragraph" w:styleId="Indexheading">
    <w:name w:val="index heading"/>
    <w:basedOn w:val="Gwka"/>
    <w:qFormat/>
    <w:rsid w:val="006a1d1f"/>
    <w:pPr/>
    <w:rPr/>
  </w:style>
  <w:style w:type="paragraph" w:styleId="Nagwekindeksu" w:customStyle="1">
    <w:name w:val="Index Heading"/>
    <w:basedOn w:val="Gwka"/>
    <w:rsid w:val="006a1d1f"/>
    <w:pPr/>
    <w:rPr/>
  </w:style>
  <w:style w:type="paragraph" w:styleId="Nagwekspisutreci">
    <w:name w:val="TOC Heading"/>
    <w:basedOn w:val="Nagwek1"/>
    <w:next w:val="Normal"/>
    <w:uiPriority w:val="39"/>
    <w:unhideWhenUsed/>
    <w:qFormat/>
    <w:rsid w:val="00b03721"/>
    <w:pPr>
      <w:numPr>
        <w:ilvl w:val="0"/>
        <w:numId w:val="0"/>
      </w:numPr>
      <w:jc w:val="left"/>
      <w:outlineLvl w:val="9"/>
    </w:pPr>
    <w:rPr>
      <w:rFonts w:ascii="Palatino Linotype" w:hAnsi="Palatino Linotype" w:asciiTheme="majorHAnsi" w:hAnsiTheme="majorHAnsi"/>
      <w:color w:val="3476B1" w:themeColor="accent1" w:themeShade="bf"/>
      <w:sz w:val="28"/>
      <w:lang w:eastAsia="pl-PL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5b7e49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5b7e49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5b7e49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fb4883"/>
    <w:pPr>
      <w:suppressAutoHyphens w:val="false"/>
      <w:spacing w:beforeAutospacing="1" w:after="142"/>
      <w:jc w:val="left"/>
    </w:pPr>
    <w:rPr>
      <w:rFonts w:ascii="Times New Roman" w:hAnsi="Times New Roman" w:eastAsia="Times New Roman" w:cs="Times New Roman"/>
      <w:color w:val="000000"/>
      <w:sz w:val="24"/>
      <w:szCs w:val="24"/>
      <w:lang w:eastAsia="pl-PL"/>
    </w:rPr>
  </w:style>
  <w:style w:type="paragraph" w:styleId="Western" w:customStyle="1">
    <w:name w:val="western"/>
    <w:basedOn w:val="Normal"/>
    <w:qFormat/>
    <w:rsid w:val="00fb4883"/>
    <w:pPr>
      <w:suppressAutoHyphens w:val="false"/>
      <w:spacing w:beforeAutospacing="1" w:after="142"/>
      <w:jc w:val="left"/>
    </w:pPr>
    <w:rPr>
      <w:rFonts w:ascii="Times New Roman" w:hAnsi="Times New Roman" w:eastAsia="Times New Roman" w:cs="Times New Roman"/>
      <w:color w:val="000000"/>
      <w:sz w:val="24"/>
      <w:szCs w:val="24"/>
      <w:lang w:eastAsia="pl-P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737bb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Elementarny">
  <a:themeElements>
    <a:clrScheme name="Elementarny">
      <a:dk1>
        <a:srgbClr val="000000"/>
      </a:dk1>
      <a:lt1>
        <a:srgbClr val="FFFFFF"/>
      </a:lt1>
      <a:dk2>
        <a:srgbClr val="242852"/>
      </a:dk2>
      <a:lt2>
        <a:srgbClr val="ACCBF9"/>
      </a:lt2>
      <a:accent1>
        <a:srgbClr val="629DD1"/>
      </a:accent1>
      <a:accent2>
        <a:srgbClr val="297FD5"/>
      </a:accent2>
      <a:accent3>
        <a:srgbClr val="7F8FA9"/>
      </a:accent3>
      <a:accent4>
        <a:srgbClr val="4A66AC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Elementarny">
      <a:majorFont>
        <a:latin typeface="Palatino Linotype"/>
        <a:ea typeface=""/>
        <a:cs typeface=""/>
      </a:majorFont>
      <a:minorFont>
        <a:latin typeface="Palatino Linotype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90000"/>
              </a:schemeClr>
            </a:gs>
            <a:gs pos="48000">
              <a:schemeClr val="phClr">
                <a:tint val="54000"/>
              </a:schemeClr>
            </a:gs>
            <a:gs pos="100000">
              <a:schemeClr val="phClr">
                <a:tint val="24000"/>
              </a:schemeClr>
            </a:gs>
          </a:gsLst>
          <a:lin ang="16200000" scaled="1"/>
          <a:tileRect/>
        </a:gradFill>
        <a:gradFill>
          <a:gsLst>
            <a:gs pos="0">
              <a:schemeClr val="phClr"/>
            </a:gs>
            <a:gs pos="100000">
              <a:schemeClr val="phClr">
                <a:shade val="48000"/>
                <a:lumMod val="94000"/>
              </a:schemeClr>
            </a:gs>
            <a:gs pos="100000">
              <a:schemeClr val="phClr">
                <a:shade val="48000"/>
                <a:lumMod val="94000"/>
              </a:schemeClr>
            </a:gs>
          </a:gsLst>
          <a:lin ang="4140000" scaled="1"/>
          <a:tileRect/>
        </a:gradFill>
      </a:fillStyleLst>
      <a:lnStyleLst>
        <a:ln w="12700" cap="flat" cmpd="sng" algn="ctr">
          <a:prstDash val="solid"/>
        </a:ln>
        <a:ln w="19050" cap="flat" cmpd="sng" algn="ctr">
          <a:prstDash val="solid"/>
        </a:ln>
        <a:ln w="28575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95000"/>
              </a:schemeClr>
            </a:gs>
            <a:gs pos="100000">
              <a:schemeClr val="phClr">
                <a:shade val="40000"/>
              </a:schemeClr>
            </a:gs>
          </a:gsLst>
          <a:lin ang="5400000" scaled="0"/>
          <a:tileRect/>
        </a:gradFill>
        <a:blipFill rotWithShape="0">
          <a:srcRect/>
          <a:stretch>
            <a:fillRect/>
          </a:stretch>
        </a:blip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2F35D4-5F7C-45AA-9C9D-4FA042764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Application>LibreOffice/7.3.0.3$Windows_X86_64 LibreOffice_project/0f246aa12d0eee4a0f7adcefbf7c878fc2238db3</Application>
  <AppVersion>15.0000</AppVersion>
  <Pages>4</Pages>
  <Words>985</Words>
  <Characters>6682</Characters>
  <CharactersWithSpaces>7813</CharactersWithSpaces>
  <Paragraphs>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2024-09-18T08:01:00Z</dcterms:created>
  <dc:creator>AJ</dc:creator>
  <dc:description/>
  <dc:language>pl-PL</dc:language>
  <cp:lastModifiedBy/>
  <cp:lastPrinted>2025-06-12T07:33:36Z</cp:lastPrinted>
  <dcterms:modified xsi:type="dcterms:W3CDTF">2025-06-12T07:33:40Z</dcterms:modified>
  <cp:revision>61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